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9" w:name="X497db435115f78b34e59c4e04d5ce935ec8274e"/>
    <w:p>
      <w:pPr>
        <w:pStyle w:val="Heading1"/>
      </w:pPr>
      <w:r>
        <w:t xml:space="preserve">Informare privind respingerea motivată a notificării</w:t>
      </w:r>
    </w:p>
    <w:p>
      <w:pPr>
        <w:pStyle w:val="FirstParagraph"/>
      </w:pPr>
      <w:r>
        <w:rPr>
          <w:b/>
          <w:bCs/>
        </w:rPr>
        <w:t xml:space="preserve">Formular F_NOT_05 · versiunea 1.0</w:t>
      </w:r>
    </w:p>
    <w:p>
      <w:pPr>
        <w:pStyle w:val="BodyText"/>
      </w:pPr>
      <w:r>
        <w:rPr>
          <w:i/>
          <w:iCs/>
        </w:rPr>
        <w:t xml:space="preserve">Anexa nr. 3 la Ordinul ministrului dezvoltării, lucrărilor publice și administrației nr. 975/2026 privind aprobarea modelelor formularelor referitoare la autorizarea construirii, publicat în Monitorul Oficial al României, Partea I, nr. 711 și nr. 711 bis din 26 august 2026.</w:t>
      </w:r>
    </w:p>
    <w:p>
      <w:pPr>
        <w:pStyle w:val="BodyText"/>
      </w:pPr>
      <w:r>
        <w:rPr>
          <w:i/>
          <w:iCs/>
        </w:rPr>
        <w:t xml:space="preserve">În Monitorul Oficial al României, Partea I, nr. 711 bis, formularul ocupă 1 pagină.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1839"/>
        <w:gridCol w:w="882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siglă / stemă</w:t>
            </w:r>
          </w:p>
        </w:tc>
        <w:tc>
          <w:tcPr/>
          <w:p>
            <w:pPr>
              <w:pStyle w:val="Compact"/>
            </w:pPr>
            <w:r>
              <w:t xml:space="preserve">Județul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1066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Autoritatea administrației publice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3678"/>
        <w:gridCol w:w="698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Cod de identificare fiscală (CIF)</w:t>
            </w:r>
          </w:p>
        </w:tc>
        <w:tc>
          <w:tcPr/>
          <w:p>
            <w:pPr>
              <w:pStyle w:val="Compact"/>
            </w:pPr>
            <w:r>
              <w:t xml:space="preserve">Adresa oficială</w:t>
            </w:r>
            <w:r>
              <w:br/>
            </w:r>
            <w:r>
              <w:t xml:space="preserve">sediul · telefon · e-mail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7172"/>
        <w:gridCol w:w="34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Nr. înregistrare</w:t>
            </w:r>
          </w:p>
        </w:tc>
        <w:tc>
          <w:tcPr/>
          <w:p>
            <w:pPr>
              <w:pStyle w:val="Compact"/>
            </w:pPr>
            <w:r>
              <w:t xml:space="preserve">Data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9"/>
    <w:bookmarkStart w:id="13" w:name="informare"/>
    <w:p>
      <w:pPr>
        <w:pStyle w:val="Heading1"/>
      </w:pPr>
      <w:r>
        <w:t xml:space="preserve">INFORMARE</w:t>
      </w:r>
    </w:p>
    <w:p>
      <w:pPr>
        <w:pStyle w:val="FirstParagraph"/>
      </w:pPr>
      <w:r>
        <w:rPr>
          <w:i/>
          <w:iCs/>
        </w:rPr>
        <w:t xml:space="preserve">privind respingerea motivată a notificării</w:t>
      </w:r>
    </w:p>
    <w:bookmarkStart w:id="10" w:name="referințe"/>
    <w:p>
      <w:pPr>
        <w:pStyle w:val="Heading2"/>
      </w:pPr>
      <w:r>
        <w:t xml:space="preserve">1. REFERINȚE</w: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2917"/>
        <w:gridCol w:w="2462"/>
        <w:gridCol w:w="528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Notificarea nr.</w:t>
            </w:r>
          </w:p>
        </w:tc>
        <w:tc>
          <w:tcPr/>
          <w:p>
            <w:pPr>
              <w:pStyle w:val="Compact"/>
            </w:pPr>
            <w:r>
              <w:t xml:space="preserve">din data</w:t>
            </w:r>
          </w:p>
        </w:tc>
        <w:tc>
          <w:tcPr/>
          <w:p>
            <w:pPr>
              <w:pStyle w:val="Compact"/>
            </w:pPr>
            <w:r>
              <w:t xml:space="preserve">a beneficiarului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4138"/>
        <w:gridCol w:w="652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Proiect nr. / cod</w:t>
            </w:r>
          </w:p>
        </w:tc>
        <w:tc>
          <w:tcPr/>
          <w:p>
            <w:pPr>
              <w:pStyle w:val="Compact"/>
            </w:pPr>
            <w:r>
              <w:t xml:space="preserve">Imobilul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10"/>
    <w:bookmarkStart w:id="11" w:name="respingerea"/>
    <w:p>
      <w:pPr>
        <w:pStyle w:val="Heading2"/>
      </w:pPr>
      <w:r>
        <w:t xml:space="preserve">2. RESPINGEREA</w:t>
      </w:r>
    </w:p>
    <w:p>
      <w:pPr>
        <w:pStyle w:val="FirstParagraph"/>
      </w:pPr>
      <w:r>
        <w:t xml:space="preserve">☐ neîncadrarea în categoriile art. 294 din Legea nr. 169/2026 privind Codul amenajării teritoriului, urbanismului și construcțiilor</w:t>
      </w:r>
    </w:p>
    <w:p>
      <w:pPr>
        <w:pStyle w:val="BodyText"/>
      </w:pPr>
      <w:r>
        <w:t xml:space="preserve">☐ nerespectarea condițiilor privind calitatea în construcții</w:t>
      </w:r>
    </w:p>
    <w:p>
      <w:pPr>
        <w:pStyle w:val="BodyText"/>
      </w:pPr>
      <w:r>
        <w:t xml:space="preserve">☐ nerespectarea condițiilor privind mediul ori patrimoniul cultural</w:t>
      </w:r>
    </w:p>
    <w:p>
      <w:pPr>
        <w:pStyle w:val="BodyText"/>
      </w:pPr>
      <w:r>
        <w:t xml:space="preserve">☐ alt motiv</w: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1066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Motivarea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i/>
          <w:iCs/>
        </w:rPr>
        <w:t xml:space="preserve">Lucrările nu pot începe în baza notificării transmise. O nouă notificare poate fi transmisă numai pentru o soluție care se încadrează integral în condițiile Legii nr. 169/2026.</w:t>
      </w:r>
    </w:p>
    <w:bookmarkEnd w:id="11"/>
    <w:bookmarkStart w:id="12" w:name="semnătura"/>
    <w:p>
      <w:pPr>
        <w:pStyle w:val="Heading2"/>
      </w:pPr>
      <w:r>
        <w:t xml:space="preserve">3. SEMNĂTURA</w: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5106"/>
        <w:gridCol w:w="2278"/>
        <w:gridCol w:w="328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Reprezentantul autorității — numele</w:t>
            </w:r>
          </w:p>
        </w:tc>
        <w:tc>
          <w:tcPr/>
          <w:p>
            <w:pPr>
              <w:pStyle w:val="Compact"/>
            </w:pPr>
            <w:r>
              <w:t xml:space="preserve">Data</w:t>
            </w:r>
          </w:p>
        </w:tc>
        <w:tc>
          <w:tcPr/>
          <w:p>
            <w:pPr>
              <w:pStyle w:val="Compact"/>
            </w:pPr>
            <w:r>
              <w:t xml:space="preserve">Semnătura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F_NOT_05 · versiunea 1.0</w:t>
      </w:r>
    </w:p>
    <w:bookmarkEnd w:id="12"/>
    <w:bookmarkEnd w:id="13"/>
    <w:sectPr>
      <w:pgSz w:h="16838" w:w="11906"/>
      <w:pgMar w:bottom="680" w:footer="340" w:gutter="0" w:header="340" w:left="620" w:right="620" w:top="68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hAnsi="Calibri"/>
        <w:sz w:val="18"/>
        <w:szCs w:val="18"/>
        <w:lang w:bidi="ar-SA" w:eastAsia="ro-RO" w:val="ro-RO"/>
      </w:rPr>
    </w:rPrDefault>
    <w:pPrDefault>
      <w:pPr>
        <w:spacing w:after="60" w:line="240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40" w:before="4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60" w:before="0"/>
      <w:contextualSpacing/>
      <w:jc w:val="center"/>
    </w:pPr>
    <w:rPr>
      <w:rFonts w:ascii="Calibri" w:cs="Calibri" w:hAnsi="Calibri"/>
      <w:b/>
      <w:color w:val="000000"/>
      <w:sz w:val="32"/>
      <w:szCs w:val="3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jc w:val="center"/>
      <w:keepNext/>
      <w:keepLines/>
      <w:spacing w:after="80" w:before="200"/>
      <w:outlineLvl w:val="0"/>
    </w:pPr>
    <w:rPr>
      <w:rFonts w:ascii="Calibri" w:cs="Calibri" w:hAnsi="Calibri"/>
      <w:b/>
      <w:color w:val="000000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40" w:before="140"/>
      <w:outlineLvl w:val="1"/>
    </w:pPr>
    <w:rPr>
      <w:rFonts w:ascii="Calibri" w:cs="Calibri" w:hAnsi="Calibri"/>
      <w:b/>
      <w:color w:val="000000"/>
      <w:sz w:val="19"/>
      <w:szCs w:val="19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jc w:val="center"/>
      <w:keepNext/>
      <w:keepLines/>
      <w:spacing w:after="60" w:before="140"/>
      <w:outlineLvl w:val="2"/>
    </w:pPr>
    <w:rPr>
      <w:rFonts w:ascii="Calibri" w:cs="Calibri" w:hAnsi="Calibri"/>
      <w:b/>
      <w:color w:val="000000"/>
      <w:sz w:val="24"/>
      <w:szCs w:val="24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qFormat/>
    <w:tblPr>
      <w:tblInd w:type="dxa" w:w="0"/>
      <w:tblBorders>
        <w:top w:color="808080" w:space="0" w:sz="4" w:val="single"/>
        <w:left w:color="808080" w:space="0" w:sz="4" w:val="single"/>
        <w:bottom w:color="808080" w:space="0" w:sz="4" w:val="single"/>
        <w:right w:color="808080" w:space="0" w:sz="4" w:val="single"/>
        <w:insideH w:color="808080" w:space="0" w:sz="4" w:val="single"/>
        <w:insideV w:color="808080" w:space="0" w:sz="4" w:val="single"/>
      </w:tblBorders>
      <w:tblCellMar>
        <w:top w:type="dxa" w:w="40"/>
        <w:left w:type="dxa" w:w="80"/>
        <w:bottom w:type="dxa" w:w="40"/>
        <w:right w:type="dxa" w:w="80"/>
      </w:tblCellMar>
    </w:tblPr>
    <w:tblStylePr w:type="firstRow">
      <w:rPr>
        <w:sz w:val="15"/>
        <w:szCs w:val="15"/>
        <w:color w:val="333333"/>
      </w:rPr>
      <w:tcPr>
        <w:shd w:color="auto" w:fill="F2F2F2" w:val="clear"/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2026-09-02T18:42:43Z</dcterms:created>
  <dcterms:modified xsi:type="dcterms:W3CDTF">2026-09-02T18:42:43Z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